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F" w:rsidRPr="002767DF" w:rsidRDefault="005C7F9F" w:rsidP="002767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Dear School Board M</w:t>
      </w:r>
      <w:r w:rsidR="002767DF" w:rsidRPr="002767DF">
        <w:rPr>
          <w:rFonts w:asciiTheme="minorHAnsi" w:hAnsiTheme="minorHAnsi"/>
          <w:sz w:val="24"/>
          <w:szCs w:val="24"/>
        </w:rPr>
        <w:t>ember,</w:t>
      </w:r>
    </w:p>
    <w:p w:rsidR="002767DF" w:rsidRPr="002767DF" w:rsidRDefault="002767DF" w:rsidP="002767DF">
      <w:pPr>
        <w:ind w:left="360"/>
        <w:rPr>
          <w:rFonts w:asciiTheme="minorHAnsi" w:hAnsiTheme="minorHAnsi"/>
          <w:sz w:val="24"/>
          <w:szCs w:val="24"/>
        </w:rPr>
      </w:pPr>
    </w:p>
    <w:p w:rsidR="002767DF" w:rsidRPr="002767DF" w:rsidRDefault="002767DF" w:rsidP="002767DF">
      <w:pPr>
        <w:rPr>
          <w:rFonts w:asciiTheme="minorHAnsi" w:hAnsiTheme="minorHAnsi"/>
          <w:sz w:val="24"/>
          <w:szCs w:val="24"/>
        </w:rPr>
      </w:pPr>
      <w:r w:rsidRPr="002767DF">
        <w:rPr>
          <w:rFonts w:asciiTheme="minorHAnsi" w:hAnsiTheme="minorHAnsi"/>
          <w:sz w:val="24"/>
          <w:szCs w:val="24"/>
        </w:rPr>
        <w:t xml:space="preserve">I am writing to strongly request that you defend the </w:t>
      </w:r>
      <w:r w:rsidR="000207E1">
        <w:rPr>
          <w:rFonts w:asciiTheme="minorHAnsi" w:hAnsiTheme="minorHAnsi"/>
          <w:sz w:val="24"/>
          <w:szCs w:val="24"/>
        </w:rPr>
        <w:t xml:space="preserve">safety and </w:t>
      </w:r>
      <w:r w:rsidR="004C60F7">
        <w:rPr>
          <w:rFonts w:asciiTheme="minorHAnsi" w:hAnsiTheme="minorHAnsi"/>
          <w:sz w:val="24"/>
          <w:szCs w:val="24"/>
        </w:rPr>
        <w:t>privacy of our community's</w:t>
      </w:r>
      <w:r w:rsidRPr="002767DF">
        <w:rPr>
          <w:rFonts w:asciiTheme="minorHAnsi" w:hAnsiTheme="minorHAnsi"/>
          <w:sz w:val="24"/>
          <w:szCs w:val="24"/>
        </w:rPr>
        <w:t xml:space="preserve"> daughters (and sons), </w:t>
      </w:r>
      <w:r w:rsidR="004C60F7">
        <w:rPr>
          <w:rFonts w:asciiTheme="minorHAnsi" w:hAnsiTheme="minorHAnsi"/>
          <w:sz w:val="24"/>
          <w:szCs w:val="24"/>
        </w:rPr>
        <w:t xml:space="preserve">by refusing to follow the </w:t>
      </w:r>
      <w:r w:rsidRPr="002767DF">
        <w:rPr>
          <w:rFonts w:asciiTheme="minorHAnsi" w:hAnsiTheme="minorHAnsi"/>
          <w:sz w:val="24"/>
          <w:szCs w:val="24"/>
        </w:rPr>
        <w:t>Obama</w:t>
      </w:r>
      <w:r w:rsidR="004C60F7">
        <w:rPr>
          <w:rFonts w:asciiTheme="minorHAnsi" w:hAnsiTheme="minorHAnsi"/>
          <w:sz w:val="24"/>
          <w:szCs w:val="24"/>
        </w:rPr>
        <w:t xml:space="preserve"> administration'</w:t>
      </w:r>
      <w:r w:rsidRPr="002767DF">
        <w:rPr>
          <w:rFonts w:asciiTheme="minorHAnsi" w:hAnsiTheme="minorHAnsi"/>
          <w:sz w:val="24"/>
          <w:szCs w:val="24"/>
        </w:rPr>
        <w:t xml:space="preserve">s </w:t>
      </w:r>
      <w:r>
        <w:rPr>
          <w:rFonts w:asciiTheme="minorHAnsi" w:hAnsiTheme="minorHAnsi"/>
          <w:sz w:val="24"/>
          <w:szCs w:val="24"/>
        </w:rPr>
        <w:t xml:space="preserve">May 13, 2016, </w:t>
      </w:r>
      <w:r w:rsidRPr="002767DF">
        <w:rPr>
          <w:rFonts w:asciiTheme="minorHAnsi" w:hAnsiTheme="minorHAnsi"/>
          <w:sz w:val="24"/>
          <w:szCs w:val="24"/>
        </w:rPr>
        <w:t>Dear Colleague Letter, which advises public schools to implement mixed-gender bathrooms, locker rooms, showers, and hotel rooms.</w:t>
      </w:r>
    </w:p>
    <w:p w:rsidR="002767DF" w:rsidRPr="002767DF" w:rsidRDefault="002767DF" w:rsidP="002767DF">
      <w:pPr>
        <w:ind w:left="360"/>
        <w:rPr>
          <w:rFonts w:asciiTheme="minorHAnsi" w:hAnsiTheme="minorHAnsi"/>
          <w:sz w:val="24"/>
          <w:szCs w:val="24"/>
        </w:rPr>
      </w:pPr>
    </w:p>
    <w:p w:rsidR="002767DF" w:rsidRPr="002767DF" w:rsidRDefault="002767DF" w:rsidP="002767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2767DF">
        <w:rPr>
          <w:rFonts w:asciiTheme="minorHAnsi" w:hAnsiTheme="minorHAnsi"/>
          <w:sz w:val="24"/>
          <w:szCs w:val="24"/>
        </w:rPr>
        <w:t>ommon sense and decency</w:t>
      </w:r>
      <w:r>
        <w:rPr>
          <w:rFonts w:asciiTheme="minorHAnsi" w:hAnsiTheme="minorHAnsi"/>
          <w:sz w:val="24"/>
          <w:szCs w:val="24"/>
        </w:rPr>
        <w:t xml:space="preserve"> should reveal this advice exposes our daughters (and sons) to a potentially traumatic loss of privacy, safety, and dignity.</w:t>
      </w:r>
      <w:r w:rsidRPr="002767DF">
        <w:rPr>
          <w:rFonts w:asciiTheme="minorHAnsi" w:hAnsiTheme="minorHAnsi"/>
          <w:sz w:val="24"/>
          <w:szCs w:val="24"/>
        </w:rPr>
        <w:t xml:space="preserve"> </w:t>
      </w:r>
    </w:p>
    <w:p w:rsidR="002767DF" w:rsidRPr="002767DF" w:rsidRDefault="002767DF" w:rsidP="002767DF">
      <w:pPr>
        <w:rPr>
          <w:rFonts w:asciiTheme="minorHAnsi" w:hAnsiTheme="minorHAnsi"/>
          <w:sz w:val="24"/>
          <w:szCs w:val="24"/>
        </w:rPr>
      </w:pPr>
    </w:p>
    <w:p w:rsidR="004D4DA4" w:rsidRDefault="002767DF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 w:rsidRPr="002767DF">
        <w:rPr>
          <w:rFonts w:asciiTheme="minorHAnsi" w:hAnsiTheme="minorHAnsi"/>
          <w:sz w:val="24"/>
          <w:szCs w:val="24"/>
        </w:rPr>
        <w:t xml:space="preserve">As </w:t>
      </w:r>
      <w:r w:rsidR="004D4DA4">
        <w:rPr>
          <w:rFonts w:asciiTheme="minorHAnsi" w:hAnsiTheme="minorHAnsi"/>
          <w:sz w:val="24"/>
          <w:szCs w:val="24"/>
        </w:rPr>
        <w:t>for</w:t>
      </w:r>
      <w:r w:rsidRPr="002767DF">
        <w:rPr>
          <w:rFonts w:asciiTheme="minorHAnsi" w:hAnsiTheme="minorHAnsi"/>
          <w:sz w:val="24"/>
          <w:szCs w:val="24"/>
        </w:rPr>
        <w:t xml:space="preserve"> the law, </w:t>
      </w:r>
      <w:r>
        <w:rPr>
          <w:rFonts w:asciiTheme="minorHAnsi" w:hAnsiTheme="minorHAnsi"/>
          <w:sz w:val="24"/>
          <w:szCs w:val="24"/>
        </w:rPr>
        <w:t xml:space="preserve">however, </w:t>
      </w:r>
      <w:r w:rsidR="004D4DA4">
        <w:rPr>
          <w:rFonts w:asciiTheme="minorHAnsi" w:hAnsiTheme="minorHAnsi"/>
          <w:sz w:val="24"/>
          <w:szCs w:val="24"/>
        </w:rPr>
        <w:t>not only have the courts consistently rebuffed the Obama administration</w:t>
      </w:r>
      <w:r w:rsidR="004C60F7">
        <w:rPr>
          <w:rFonts w:asciiTheme="minorHAnsi" w:hAnsiTheme="minorHAnsi"/>
          <w:sz w:val="24"/>
          <w:szCs w:val="24"/>
        </w:rPr>
        <w:t>'</w:t>
      </w:r>
      <w:r w:rsidR="004D4DA4">
        <w:rPr>
          <w:rFonts w:asciiTheme="minorHAnsi" w:hAnsiTheme="minorHAnsi"/>
          <w:sz w:val="24"/>
          <w:szCs w:val="24"/>
        </w:rPr>
        <w:t xml:space="preserve">s interpretation </w:t>
      </w:r>
      <w:r w:rsidR="00446702">
        <w:rPr>
          <w:rFonts w:asciiTheme="minorHAnsi" w:hAnsiTheme="minorHAnsi"/>
          <w:sz w:val="24"/>
          <w:szCs w:val="24"/>
        </w:rPr>
        <w:t>of Title IX,</w:t>
      </w:r>
      <w:r w:rsidR="004D4DA4">
        <w:rPr>
          <w:rFonts w:asciiTheme="minorHAnsi" w:hAnsiTheme="minorHAnsi"/>
          <w:sz w:val="24"/>
          <w:szCs w:val="24"/>
        </w:rPr>
        <w:t xml:space="preserve"> but precedent and legal representation stand ready to </w:t>
      </w:r>
      <w:r w:rsidR="00446702">
        <w:rPr>
          <w:rFonts w:asciiTheme="minorHAnsi" w:hAnsiTheme="minorHAnsi"/>
          <w:sz w:val="24"/>
          <w:szCs w:val="24"/>
        </w:rPr>
        <w:t>defend those schools that decline</w:t>
      </w:r>
      <w:r w:rsidR="004D4DA4">
        <w:rPr>
          <w:rFonts w:asciiTheme="minorHAnsi" w:hAnsiTheme="minorHAnsi"/>
          <w:sz w:val="24"/>
          <w:szCs w:val="24"/>
        </w:rPr>
        <w:t xml:space="preserve"> the administration</w:t>
      </w:r>
      <w:r w:rsidR="004C60F7">
        <w:rPr>
          <w:rFonts w:asciiTheme="minorHAnsi" w:hAnsiTheme="minorHAnsi"/>
          <w:sz w:val="24"/>
          <w:szCs w:val="24"/>
        </w:rPr>
        <w:t>'</w:t>
      </w:r>
      <w:r w:rsidR="004D4DA4">
        <w:rPr>
          <w:rFonts w:asciiTheme="minorHAnsi" w:hAnsiTheme="minorHAnsi"/>
          <w:sz w:val="24"/>
          <w:szCs w:val="24"/>
        </w:rPr>
        <w:t>s misguided direction.</w:t>
      </w:r>
    </w:p>
    <w:p w:rsidR="004D4DA4" w:rsidRDefault="004D4DA4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</w:p>
    <w:p w:rsidR="00F911BC" w:rsidRDefault="00F911BC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August 21 of this year, for example, a federal judge in Texas issued an injunction, barring the administration from enforcing the new guidelines or even investigating a school for ignoring them (</w:t>
      </w:r>
      <w:hyperlink r:id="rId5" w:history="1">
        <w:r w:rsidRPr="00D15F17">
          <w:rPr>
            <w:rStyle w:val="Hyperlink"/>
            <w:rFonts w:asciiTheme="minorHAnsi" w:hAnsiTheme="minorHAnsi"/>
            <w:sz w:val="24"/>
            <w:szCs w:val="24"/>
          </w:rPr>
          <w:t>http://www.politico.com/story/2016/08/texas-judge-temporarily-blocks-obamas-transgender-directive-227267</w:t>
        </w:r>
      </w:hyperlink>
      <w:r>
        <w:rPr>
          <w:rFonts w:asciiTheme="minorHAnsi" w:hAnsiTheme="minorHAnsi"/>
          <w:sz w:val="24"/>
          <w:szCs w:val="24"/>
        </w:rPr>
        <w:t xml:space="preserve">). According to the judge's official ruling, </w:t>
      </w:r>
      <w:r w:rsidRPr="00F911BC">
        <w:rPr>
          <w:rFonts w:asciiTheme="minorHAnsi" w:hAnsiTheme="minorHAnsi"/>
          <w:sz w:val="24"/>
          <w:szCs w:val="24"/>
        </w:rPr>
        <w:t>"The Court concludes this injunction should apply nationwide."</w:t>
      </w:r>
    </w:p>
    <w:p w:rsidR="00F911BC" w:rsidRDefault="00F911BC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</w:p>
    <w:p w:rsidR="004D4DA4" w:rsidRDefault="004D4DA4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Iowa </w:t>
      </w:r>
      <w:r w:rsidR="00446702">
        <w:rPr>
          <w:rFonts w:asciiTheme="minorHAnsi" w:hAnsiTheme="minorHAnsi"/>
          <w:sz w:val="24"/>
          <w:szCs w:val="24"/>
        </w:rPr>
        <w:t xml:space="preserve">Gov. </w:t>
      </w:r>
      <w:proofErr w:type="spellStart"/>
      <w:r w:rsidR="00446702">
        <w:rPr>
          <w:rFonts w:asciiTheme="minorHAnsi" w:hAnsiTheme="minorHAnsi"/>
          <w:sz w:val="24"/>
          <w:szCs w:val="24"/>
        </w:rPr>
        <w:t>Branstad</w:t>
      </w:r>
      <w:proofErr w:type="spellEnd"/>
      <w:r w:rsidR="00446702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furthermore</w:t>
      </w:r>
      <w:r w:rsidR="0044670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446702">
        <w:rPr>
          <w:rFonts w:asciiTheme="minorHAnsi" w:hAnsiTheme="minorHAnsi"/>
          <w:sz w:val="24"/>
          <w:szCs w:val="24"/>
        </w:rPr>
        <w:t>issued a constituent letter</w:t>
      </w:r>
      <w:r>
        <w:rPr>
          <w:rFonts w:asciiTheme="minorHAnsi" w:hAnsiTheme="minorHAnsi"/>
          <w:sz w:val="24"/>
          <w:szCs w:val="24"/>
        </w:rPr>
        <w:t xml:space="preserve"> </w:t>
      </w:r>
      <w:r w:rsidR="00446702">
        <w:rPr>
          <w:rFonts w:asciiTheme="minorHAnsi" w:hAnsiTheme="minorHAnsi"/>
          <w:sz w:val="24"/>
          <w:szCs w:val="24"/>
        </w:rPr>
        <w:t>on June 22, 2016</w:t>
      </w:r>
      <w:r w:rsidR="004C60F7">
        <w:rPr>
          <w:rFonts w:asciiTheme="minorHAnsi" w:hAnsiTheme="minorHAnsi"/>
          <w:sz w:val="24"/>
          <w:szCs w:val="24"/>
        </w:rPr>
        <w:t>,</w:t>
      </w:r>
      <w:r w:rsidR="0044670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calling the </w:t>
      </w:r>
      <w:r w:rsidR="00446702">
        <w:rPr>
          <w:rFonts w:asciiTheme="minorHAnsi" w:hAnsiTheme="minorHAnsi"/>
          <w:sz w:val="24"/>
          <w:szCs w:val="24"/>
        </w:rPr>
        <w:t>Obama administration</w:t>
      </w:r>
      <w:r w:rsidR="004C60F7">
        <w:rPr>
          <w:rFonts w:asciiTheme="minorHAnsi" w:hAnsiTheme="minorHAnsi"/>
          <w:sz w:val="24"/>
          <w:szCs w:val="24"/>
        </w:rPr>
        <w:t>'</w:t>
      </w:r>
      <w:r w:rsidR="00446702">
        <w:rPr>
          <w:rFonts w:asciiTheme="minorHAnsi" w:hAnsiTheme="minorHAnsi"/>
          <w:sz w:val="24"/>
          <w:szCs w:val="24"/>
        </w:rPr>
        <w:t xml:space="preserve">s </w:t>
      </w:r>
      <w:r>
        <w:rPr>
          <w:rFonts w:asciiTheme="minorHAnsi" w:hAnsiTheme="minorHAnsi"/>
          <w:sz w:val="24"/>
          <w:szCs w:val="24"/>
        </w:rPr>
        <w:t xml:space="preserve">Dear Colleague Letter a "federal overreach" that "does not have the force of law." </w:t>
      </w:r>
    </w:p>
    <w:p w:rsidR="004D4DA4" w:rsidRDefault="004D4DA4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</w:p>
    <w:p w:rsidR="004D4DA4" w:rsidRDefault="004D4DA4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Gov. </w:t>
      </w:r>
      <w:proofErr w:type="spellStart"/>
      <w:r>
        <w:rPr>
          <w:rFonts w:asciiTheme="minorHAnsi" w:hAnsiTheme="minorHAnsi"/>
          <w:sz w:val="24"/>
          <w:szCs w:val="24"/>
        </w:rPr>
        <w:t>Branstad</w:t>
      </w:r>
      <w:proofErr w:type="spellEnd"/>
      <w:r>
        <w:rPr>
          <w:rFonts w:asciiTheme="minorHAnsi" w:hAnsiTheme="minorHAnsi"/>
          <w:sz w:val="24"/>
          <w:szCs w:val="24"/>
        </w:rPr>
        <w:t xml:space="preserve"> further called the implication that schools could lose federal aid </w:t>
      </w:r>
      <w:r w:rsidR="004C60F7">
        <w:rPr>
          <w:rFonts w:asciiTheme="minorHAnsi" w:hAnsiTheme="minorHAnsi"/>
          <w:sz w:val="24"/>
          <w:szCs w:val="24"/>
        </w:rPr>
        <w:t xml:space="preserve">for noncompliance </w:t>
      </w:r>
      <w:r>
        <w:rPr>
          <w:rFonts w:asciiTheme="minorHAnsi" w:hAnsiTheme="minorHAnsi"/>
          <w:sz w:val="24"/>
          <w:szCs w:val="24"/>
        </w:rPr>
        <w:t xml:space="preserve">"an unnecessary threat" </w:t>
      </w:r>
      <w:r w:rsidR="00A66A7D">
        <w:rPr>
          <w:rFonts w:asciiTheme="minorHAnsi" w:hAnsiTheme="minorHAnsi"/>
          <w:sz w:val="24"/>
          <w:szCs w:val="24"/>
        </w:rPr>
        <w:t>(</w:t>
      </w:r>
      <w:hyperlink r:id="rId6" w:history="1">
        <w:r w:rsidR="00A66A7D" w:rsidRPr="003D0D98">
          <w:rPr>
            <w:rStyle w:val="Hyperlink"/>
            <w:rFonts w:asciiTheme="minorHAnsi" w:hAnsiTheme="minorHAnsi"/>
            <w:sz w:val="24"/>
            <w:szCs w:val="24"/>
          </w:rPr>
          <w:t>http://www.thefamilyleader.com/wp-content/uploads/2016/08/160622branstadletter.pdf</w:t>
        </w:r>
      </w:hyperlink>
      <w:r>
        <w:rPr>
          <w:rFonts w:asciiTheme="minorHAnsi" w:hAnsiTheme="minorHAnsi"/>
          <w:sz w:val="24"/>
          <w:szCs w:val="24"/>
        </w:rPr>
        <w:t>).</w:t>
      </w:r>
    </w:p>
    <w:p w:rsidR="004D4DA4" w:rsidRDefault="004D4DA4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</w:p>
    <w:p w:rsidR="00582D6C" w:rsidRDefault="00582D6C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 the Iowa Civil Rights Code recognizes that schools have a legitimate need to maintain separate facilities</w:t>
      </w:r>
      <w:r w:rsidR="00600A49">
        <w:rPr>
          <w:rFonts w:asciiTheme="minorHAnsi" w:hAnsiTheme="minorHAnsi"/>
          <w:sz w:val="24"/>
          <w:szCs w:val="24"/>
        </w:rPr>
        <w:t xml:space="preserve"> on the basis of biological sex</w:t>
      </w:r>
      <w:r>
        <w:rPr>
          <w:rFonts w:asciiTheme="minorHAnsi" w:hAnsiTheme="minorHAnsi"/>
          <w:sz w:val="24"/>
          <w:szCs w:val="24"/>
        </w:rPr>
        <w:t>, stating in section 216.9.2</w:t>
      </w:r>
      <w:r w:rsidRPr="00582D6C">
        <w:rPr>
          <w:rFonts w:asciiTheme="minorHAnsi" w:hAnsiTheme="minorHAnsi"/>
          <w:sz w:val="24"/>
          <w:szCs w:val="24"/>
        </w:rPr>
        <w:t xml:space="preserve">:  "This section does not prohibit an educational institution from maintaining separate toilet facilities, locker rooms, or living facilities for the different sexes so long as comparable facilities are provided." </w:t>
      </w:r>
      <w:r>
        <w:rPr>
          <w:rFonts w:asciiTheme="minorHAnsi" w:hAnsiTheme="minorHAnsi"/>
          <w:sz w:val="24"/>
          <w:szCs w:val="24"/>
        </w:rPr>
        <w:t>(</w:t>
      </w:r>
      <w:hyperlink r:id="rId7" w:anchor="216.9" w:history="1">
        <w:r w:rsidRPr="007C5B41">
          <w:rPr>
            <w:rStyle w:val="Hyperlink"/>
            <w:rFonts w:asciiTheme="minorHAnsi" w:hAnsiTheme="minorHAnsi"/>
            <w:sz w:val="24"/>
            <w:szCs w:val="24"/>
          </w:rPr>
          <w:t>https://coolice.legis.iowa.gov/Cool-ICE/default.asp?category=billinfo&amp;service=IowaCode&amp;ga=83&amp;input=216.#216.9</w:t>
        </w:r>
      </w:hyperlink>
      <w:r>
        <w:rPr>
          <w:rFonts w:asciiTheme="minorHAnsi" w:hAnsiTheme="minorHAnsi"/>
          <w:sz w:val="24"/>
          <w:szCs w:val="24"/>
        </w:rPr>
        <w:t>) The Code</w:t>
      </w:r>
      <w:r w:rsidRPr="00582D6C">
        <w:rPr>
          <w:rFonts w:asciiTheme="minorHAnsi" w:hAnsiTheme="minorHAnsi"/>
          <w:sz w:val="24"/>
          <w:szCs w:val="24"/>
        </w:rPr>
        <w:t xml:space="preserve"> further provides in 216.9.1a an exception to retain gender-specific athletic teams.</w:t>
      </w:r>
    </w:p>
    <w:p w:rsidR="00582D6C" w:rsidRDefault="00582D6C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</w:p>
    <w:p w:rsidR="002767DF" w:rsidRPr="002767DF" w:rsidRDefault="004D4DA4" w:rsidP="002767DF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/>
          <w:sz w:val="24"/>
          <w:szCs w:val="24"/>
        </w:rPr>
        <w:t>P</w:t>
      </w:r>
      <w:r w:rsidR="002767DF">
        <w:rPr>
          <w:rFonts w:asciiTheme="minorHAnsi" w:hAnsiTheme="minorHAnsi"/>
          <w:sz w:val="24"/>
          <w:szCs w:val="24"/>
        </w:rPr>
        <w:t xml:space="preserve">lease </w:t>
      </w:r>
      <w:r>
        <w:rPr>
          <w:rFonts w:asciiTheme="minorHAnsi" w:hAnsiTheme="minorHAnsi"/>
          <w:sz w:val="24"/>
          <w:szCs w:val="24"/>
        </w:rPr>
        <w:t xml:space="preserve">also </w:t>
      </w:r>
      <w:r w:rsidR="002767DF">
        <w:rPr>
          <w:rFonts w:asciiTheme="minorHAnsi" w:hAnsiTheme="minorHAnsi"/>
          <w:sz w:val="24"/>
          <w:szCs w:val="24"/>
        </w:rPr>
        <w:t xml:space="preserve">note </w:t>
      </w:r>
      <w:r w:rsidR="002767DF" w:rsidRPr="002767DF">
        <w:rPr>
          <w:rFonts w:asciiTheme="minorHAnsi" w:hAnsiTheme="minorHAnsi"/>
          <w:sz w:val="24"/>
          <w:szCs w:val="24"/>
        </w:rPr>
        <w:t xml:space="preserve">the following </w:t>
      </w:r>
      <w:r w:rsidR="002767DF">
        <w:rPr>
          <w:rFonts w:asciiTheme="minorHAnsi" w:hAnsiTheme="minorHAnsi"/>
          <w:sz w:val="24"/>
          <w:szCs w:val="24"/>
        </w:rPr>
        <w:t xml:space="preserve">summary </w:t>
      </w:r>
      <w:r w:rsidR="002767DF" w:rsidRPr="002767DF">
        <w:rPr>
          <w:rFonts w:asciiTheme="minorHAnsi" w:hAnsiTheme="minorHAnsi"/>
          <w:sz w:val="24"/>
          <w:szCs w:val="24"/>
        </w:rPr>
        <w:t>statements from Alliance Defending Freedom,</w:t>
      </w:r>
      <w:r w:rsidR="002767DF"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 xml:space="preserve"> </w:t>
      </w:r>
      <w:r w:rsidR="002767DF"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  <w:t xml:space="preserve">a </w:t>
      </w:r>
      <w:r w:rsidR="002767D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national </w:t>
      </w:r>
      <w:r w:rsidR="002767DF" w:rsidRPr="002767DF"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  <w:t xml:space="preserve">legal organization that advocates for </w:t>
      </w:r>
      <w:bookmarkStart w:id="0" w:name="_GoBack"/>
      <w:bookmarkEnd w:id="0"/>
      <w:r w:rsidR="002767DF" w:rsidRPr="002767DF"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  <w:t>the right of religious students to</w:t>
      </w:r>
      <w:r w:rsidR="002767DF" w:rsidRPr="002767D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767DF" w:rsidRPr="002767DF"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  <w:t>freely exercise their rights to speak, associate, and learn on an equal basis with</w:t>
      </w:r>
      <w:r w:rsidR="002767DF" w:rsidRPr="002767D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767DF" w:rsidRPr="002767DF"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  <w:t>other students:</w:t>
      </w:r>
    </w:p>
    <w:p w:rsidR="002767DF" w:rsidRPr="002767DF" w:rsidRDefault="002767DF" w:rsidP="002767DF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x-none"/>
        </w:rPr>
      </w:pPr>
    </w:p>
    <w:p w:rsidR="002767DF" w:rsidRPr="002767DF" w:rsidRDefault="002767DF" w:rsidP="00276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Federal law allows schools to have sex-specific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restrooms, showers, and changing areas.</w:t>
      </w:r>
    </w:p>
    <w:p w:rsidR="002767DF" w:rsidRPr="002767DF" w:rsidRDefault="002767DF" w:rsidP="00276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Allowing students to access facilities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dedicated to the opposite sex violates the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fundamental rights of the vast majority of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students and parents.</w:t>
      </w:r>
    </w:p>
    <w:p w:rsidR="002767DF" w:rsidRPr="002767DF" w:rsidRDefault="002767DF" w:rsidP="00276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Schools have broad discretion to regulate the use of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school restrooms, showers,  and changing areas.</w:t>
      </w:r>
    </w:p>
    <w:p w:rsidR="002767DF" w:rsidRPr="002767DF" w:rsidRDefault="002767DF" w:rsidP="00276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</w:pP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Granting students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a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ccess</w:t>
      </w:r>
      <w:proofErr w:type="spellEnd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 to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o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pposite</w:t>
      </w:r>
      <w:proofErr w:type="spellEnd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-sex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c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hanging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a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reas</w:t>
      </w:r>
      <w:proofErr w:type="spellEnd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 could subject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schools to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t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ort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l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iability</w:t>
      </w:r>
      <w:proofErr w:type="spellEnd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 for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v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iolating</w:t>
      </w:r>
      <w:proofErr w:type="spellEnd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s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tudents</w:t>
      </w:r>
      <w:proofErr w:type="spellEnd"/>
      <w:r w:rsidR="004C60F7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'</w:t>
      </w:r>
      <w:r>
        <w:rPr>
          <w:rFonts w:asciiTheme="minorHAnsi" w:eastAsia="Times New Roman" w:hAnsiTheme="minorHAnsi" w:cs="CenturySchoolbook-Bold"/>
          <w:color w:val="000000"/>
          <w:sz w:val="24"/>
          <w:szCs w:val="24"/>
        </w:rPr>
        <w:t xml:space="preserve"> a</w:t>
      </w:r>
      <w:r w:rsidR="004D4DA4">
        <w:rPr>
          <w:rFonts w:asciiTheme="minorHAnsi" w:eastAsia="Times New Roman" w:hAnsiTheme="minorHAnsi" w:cs="CenturySchoolbook-Bold"/>
          <w:color w:val="000000"/>
          <w:sz w:val="24"/>
          <w:szCs w:val="24"/>
        </w:rPr>
        <w:t>n</w:t>
      </w:r>
      <w:r>
        <w:rPr>
          <w:rFonts w:asciiTheme="minorHAnsi" w:eastAsia="Times New Roman" w:hAnsiTheme="minorHAnsi" w:cs="CenturySchoolbook-Bold"/>
          <w:color w:val="000000"/>
          <w:sz w:val="24"/>
          <w:szCs w:val="24"/>
        </w:rPr>
        <w:t>d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 xml:space="preserve"> parents</w:t>
      </w:r>
      <w:r w:rsidR="004C60F7">
        <w:rPr>
          <w:rFonts w:asciiTheme="minorHAnsi" w:eastAsia="Times New Roman" w:hAnsiTheme="minorHAnsi" w:cs="CenturySchoolbook-Bold"/>
          <w:color w:val="000000"/>
          <w:sz w:val="24"/>
          <w:szCs w:val="24"/>
        </w:rPr>
        <w:t>'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 rights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.</w:t>
      </w:r>
    </w:p>
    <w:p w:rsidR="002767DF" w:rsidRPr="002767DF" w:rsidRDefault="002767DF" w:rsidP="003E3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-Bold"/>
          <w:color w:val="000000"/>
          <w:sz w:val="24"/>
          <w:szCs w:val="24"/>
        </w:rPr>
      </w:pP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lastRenderedPageBreak/>
        <w:t xml:space="preserve">As a practical matter, a public school </w:t>
      </w:r>
      <w:proofErr w:type="spellStart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w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ill</w:t>
      </w:r>
      <w:proofErr w:type="spellEnd"/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 xml:space="preserve"> not lose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  <w:t>federal funding for non-compliance with Title IX</w:t>
      </w:r>
      <w:r w:rsidRPr="002767DF">
        <w:rPr>
          <w:rFonts w:asciiTheme="minorHAnsi" w:eastAsia="Times New Roman" w:hAnsiTheme="minorHAnsi" w:cs="CenturySchoolbook-Bold"/>
          <w:color w:val="000000"/>
          <w:sz w:val="24"/>
          <w:szCs w:val="24"/>
        </w:rPr>
        <w:t>.</w:t>
      </w:r>
    </w:p>
    <w:p w:rsidR="002767DF" w:rsidRPr="002767DF" w:rsidRDefault="002767DF" w:rsidP="002767DF">
      <w:pPr>
        <w:pStyle w:val="ListParagraph"/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-Bold"/>
          <w:color w:val="000000"/>
          <w:sz w:val="24"/>
          <w:szCs w:val="24"/>
          <w:lang w:val="x-none"/>
        </w:rPr>
      </w:pPr>
    </w:p>
    <w:p w:rsidR="00F911BC" w:rsidRDefault="002767DF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For detailed legal analysis of this issue and a model Student Physical Privacy Policy, please see </w:t>
      </w:r>
      <w:hyperlink r:id="rId8" w:history="1">
        <w:r w:rsidRPr="002767DF">
          <w:rPr>
            <w:rStyle w:val="Hyperlink"/>
            <w:rFonts w:asciiTheme="minorHAnsi" w:hAnsiTheme="minorHAnsi"/>
            <w:sz w:val="24"/>
            <w:szCs w:val="24"/>
          </w:rPr>
          <w:t>http://www.adfmedia.org/files/DurhamPublicSchoolsLetter.pdf</w:t>
        </w:r>
      </w:hyperlink>
      <w:r w:rsidRPr="002767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(i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gnoring</w:t>
      </w:r>
      <w:r w:rsidRPr="002767D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 portions specifying North Carolina law.</w:t>
      </w:r>
      <w:r w:rsidRPr="002767DF">
        <w:rPr>
          <w:rFonts w:asciiTheme="minorHAnsi" w:hAnsiTheme="minorHAnsi"/>
          <w:sz w:val="24"/>
          <w:szCs w:val="24"/>
        </w:rPr>
        <w:t>)</w:t>
      </w:r>
    </w:p>
    <w:p w:rsidR="002767DF" w:rsidRDefault="002767DF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</w:t>
      </w:r>
      <w:r w:rsidR="004D4DA4">
        <w:rPr>
          <w:rFonts w:asciiTheme="minorHAnsi" w:hAnsiTheme="minorHAnsi"/>
          <w:sz w:val="24"/>
          <w:szCs w:val="24"/>
        </w:rPr>
        <w:t xml:space="preserve">also </w:t>
      </w:r>
      <w:r>
        <w:rPr>
          <w:rFonts w:asciiTheme="minorHAnsi" w:hAnsiTheme="minorHAnsi"/>
          <w:sz w:val="24"/>
          <w:szCs w:val="24"/>
        </w:rPr>
        <w:t>note these direct quotes from that legal analysis</w:t>
      </w:r>
      <w:r w:rsidR="00446702">
        <w:rPr>
          <w:rFonts w:asciiTheme="minorHAnsi" w:hAnsiTheme="minorHAnsi"/>
          <w:sz w:val="24"/>
          <w:szCs w:val="24"/>
        </w:rPr>
        <w:t xml:space="preserve"> (emphasis added)</w:t>
      </w:r>
      <w:r>
        <w:rPr>
          <w:rFonts w:asciiTheme="minorHAnsi" w:hAnsiTheme="minorHAnsi"/>
          <w:sz w:val="24"/>
          <w:szCs w:val="24"/>
        </w:rPr>
        <w:t>:</w:t>
      </w:r>
    </w:p>
    <w:p w:rsidR="002767DF" w:rsidRDefault="002767DF" w:rsidP="002767DF">
      <w:pPr>
        <w:autoSpaceDE w:val="0"/>
        <w:autoSpaceDN w:val="0"/>
        <w:adjustRightInd w:val="0"/>
        <w:snapToGrid w:val="0"/>
        <w:rPr>
          <w:rFonts w:asciiTheme="minorHAnsi" w:hAnsiTheme="minorHAnsi"/>
          <w:sz w:val="24"/>
          <w:szCs w:val="24"/>
        </w:rPr>
      </w:pPr>
    </w:p>
    <w:p w:rsidR="002767DF" w:rsidRPr="004D4DA4" w:rsidRDefault="002767DF" w:rsidP="004D4DA4">
      <w:pPr>
        <w:ind w:left="720" w:right="144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D4DA4">
        <w:rPr>
          <w:rFonts w:asciiTheme="minorHAnsi" w:hAnsiTheme="minorHAnsi"/>
          <w:sz w:val="24"/>
          <w:szCs w:val="24"/>
        </w:rPr>
        <w:t>T</w:t>
      </w:r>
      <w:r w:rsidRPr="004D4DA4">
        <w:rPr>
          <w:rFonts w:asciiTheme="minorHAnsi" w:eastAsia="Times New Roman" w:hAnsiTheme="minorHAnsi" w:cs="Times New Roman"/>
          <w:sz w:val="24"/>
          <w:szCs w:val="24"/>
        </w:rPr>
        <w:t>he regu</w:t>
      </w:r>
      <w:r w:rsidRPr="002767DF">
        <w:rPr>
          <w:rFonts w:asciiTheme="minorHAnsi" w:eastAsia="Times New Roman" w:hAnsiTheme="minorHAnsi" w:cs="Times New Roman"/>
          <w:sz w:val="24"/>
          <w:szCs w:val="24"/>
        </w:rPr>
        <w:t xml:space="preserve">lations implementing Title IX </w:t>
      </w:r>
      <w:r w:rsidR="004D4DA4" w:rsidRPr="004D4DA4">
        <w:rPr>
          <w:rFonts w:asciiTheme="minorHAnsi" w:eastAsia="Times New Roman" w:hAnsiTheme="minorHAnsi" w:cs="Times New Roman"/>
          <w:sz w:val="24"/>
          <w:szCs w:val="24"/>
        </w:rPr>
        <w:t xml:space="preserve">specifically allow schools to </w:t>
      </w:r>
      <w:r w:rsidR="004C60F7">
        <w:rPr>
          <w:rFonts w:asciiTheme="minorHAnsi" w:eastAsia="Times New Roman" w:hAnsiTheme="minorHAnsi" w:cs="Times New Roman"/>
          <w:sz w:val="24"/>
          <w:szCs w:val="24"/>
        </w:rPr>
        <w:t>'</w:t>
      </w:r>
      <w:r w:rsidRPr="002767DF">
        <w:rPr>
          <w:rFonts w:asciiTheme="minorHAnsi" w:eastAsia="Times New Roman" w:hAnsiTheme="minorHAnsi" w:cs="Times New Roman"/>
          <w:sz w:val="24"/>
          <w:szCs w:val="24"/>
        </w:rPr>
        <w:t xml:space="preserve">provide separate toilet, locker room, and shower </w:t>
      </w:r>
      <w:r w:rsidR="004D4DA4" w:rsidRPr="004D4DA4">
        <w:rPr>
          <w:rFonts w:asciiTheme="minorHAnsi" w:eastAsia="Times New Roman" w:hAnsiTheme="minorHAnsi" w:cs="Times New Roman"/>
          <w:sz w:val="24"/>
          <w:szCs w:val="24"/>
        </w:rPr>
        <w:t>facilities on the basis of sex.</w:t>
      </w:r>
      <w:r w:rsidR="004C60F7">
        <w:rPr>
          <w:rFonts w:asciiTheme="minorHAnsi" w:eastAsia="Times New Roman" w:hAnsiTheme="minorHAnsi" w:cs="Times New Roman"/>
          <w:sz w:val="24"/>
          <w:szCs w:val="24"/>
        </w:rPr>
        <w:t>'</w:t>
      </w:r>
      <w:r w:rsidRPr="002767DF">
        <w:rPr>
          <w:rFonts w:asciiTheme="minorHAnsi" w:eastAsia="Times New Roman" w:hAnsiTheme="minorHAnsi" w:cs="Times New Roman"/>
          <w:sz w:val="24"/>
          <w:szCs w:val="24"/>
        </w:rPr>
        <w:t xml:space="preserve"> 34 C.F.R. § 106.33.</w:t>
      </w:r>
      <w:r w:rsidR="004D4DA4" w:rsidRPr="004D4DA4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Times New Roman"/>
          <w:sz w:val="24"/>
          <w:szCs w:val="24"/>
        </w:rPr>
        <w:t xml:space="preserve">Accordingly, </w:t>
      </w:r>
      <w:r w:rsidRPr="002767DF">
        <w:rPr>
          <w:rFonts w:asciiTheme="minorHAnsi" w:eastAsia="Times New Roman" w:hAnsiTheme="minorHAnsi" w:cs="Times New Roman"/>
          <w:b/>
          <w:sz w:val="24"/>
          <w:szCs w:val="24"/>
        </w:rPr>
        <w:t>both federal and state courts have almost uniformly</w:t>
      </w:r>
      <w:r w:rsidR="004D4DA4" w:rsidRPr="00446702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Times New Roman"/>
          <w:b/>
          <w:sz w:val="24"/>
          <w:szCs w:val="24"/>
        </w:rPr>
        <w:t>rejected arguments suggesting that</w:t>
      </w:r>
      <w:r w:rsidR="004D4DA4" w:rsidRPr="00446702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Times New Roman"/>
          <w:b/>
          <w:sz w:val="24"/>
          <w:szCs w:val="24"/>
        </w:rPr>
        <w:t>Title IX requires</w:t>
      </w:r>
      <w:r w:rsidR="004D4DA4" w:rsidRPr="00446702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Times New Roman"/>
          <w:b/>
          <w:sz w:val="24"/>
          <w:szCs w:val="24"/>
        </w:rPr>
        <w:t>schools to give students access to opposite-sex restrooms and changing areas.</w:t>
      </w:r>
      <w:r w:rsidR="004D4DA4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Times New Roman"/>
          <w:sz w:val="24"/>
          <w:szCs w:val="24"/>
        </w:rPr>
        <w:t>Rather, these courts have found that schools do not discriminate under Title IX when they limit use of sex-specific restrooms to members of the specified</w:t>
      </w:r>
      <w:r w:rsidR="004D4DA4">
        <w:rPr>
          <w:rFonts w:asciiTheme="minorHAnsi" w:eastAsia="Times New Roman" w:hAnsiTheme="minorHAnsi" w:cs="Times New Roman"/>
          <w:sz w:val="24"/>
          <w:szCs w:val="24"/>
        </w:rPr>
        <w:t xml:space="preserve"> s</w:t>
      </w:r>
      <w:r w:rsidRPr="004D4DA4">
        <w:rPr>
          <w:rFonts w:asciiTheme="minorHAnsi" w:eastAsia="Times New Roman" w:hAnsiTheme="minorHAnsi" w:cs="Times New Roman"/>
          <w:sz w:val="24"/>
          <w:szCs w:val="24"/>
        </w:rPr>
        <w:t>ex. …</w:t>
      </w:r>
    </w:p>
    <w:p w:rsidR="002767DF" w:rsidRPr="004D4DA4" w:rsidRDefault="002767DF" w:rsidP="004D4DA4">
      <w:pPr>
        <w:ind w:left="720" w:right="144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2767DF" w:rsidRPr="002767DF" w:rsidRDefault="004D4DA4" w:rsidP="004D4DA4">
      <w:pPr>
        <w:ind w:left="720" w:right="144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4D4DA4">
        <w:rPr>
          <w:rFonts w:asciiTheme="minorHAnsi" w:eastAsia="Times New Roman" w:hAnsiTheme="minorHAnsi" w:cs="Times New Roman"/>
          <w:sz w:val="24"/>
          <w:szCs w:val="24"/>
        </w:rPr>
        <w:t>T</w:t>
      </w:r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 xml:space="preserve">he regulations implementing Title IX, along with the vast majority of </w:t>
      </w:r>
      <w:proofErr w:type="spellStart"/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>caselaw</w:t>
      </w:r>
      <w:proofErr w:type="spellEnd"/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 xml:space="preserve"> interpreting Title IX, explicitly permit</w:t>
      </w:r>
      <w:r w:rsidRPr="004D4DA4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>school districts to regulat</w:t>
      </w:r>
      <w:r w:rsidR="00F911BC">
        <w:rPr>
          <w:rFonts w:asciiTheme="minorHAnsi" w:eastAsia="Times New Roman" w:hAnsiTheme="minorHAnsi" w:cs="Times New Roman"/>
          <w:sz w:val="24"/>
          <w:szCs w:val="24"/>
        </w:rPr>
        <w:t xml:space="preserve">e access to restroom and locker </w:t>
      </w:r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>room facilities based upon students</w:t>
      </w:r>
      <w:r w:rsidR="004C60F7">
        <w:rPr>
          <w:rFonts w:asciiTheme="minorHAnsi" w:eastAsia="Times New Roman" w:hAnsiTheme="minorHAnsi" w:cs="Times New Roman"/>
          <w:sz w:val="24"/>
          <w:szCs w:val="24"/>
        </w:rPr>
        <w:t>'</w:t>
      </w:r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 xml:space="preserve"> biological sex without</w:t>
      </w:r>
      <w:r w:rsidRPr="004D4DA4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911BC">
        <w:rPr>
          <w:rFonts w:asciiTheme="minorHAnsi" w:eastAsia="Times New Roman" w:hAnsiTheme="minorHAnsi" w:cs="Times New Roman"/>
          <w:sz w:val="24"/>
          <w:szCs w:val="24"/>
        </w:rPr>
        <w:t>violating</w:t>
      </w:r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 xml:space="preserve"> transgender students</w:t>
      </w:r>
      <w:r w:rsidR="00F911BC">
        <w:rPr>
          <w:rFonts w:asciiTheme="minorHAnsi" w:eastAsia="Times New Roman" w:hAnsiTheme="minorHAnsi" w:cs="Times New Roman"/>
          <w:sz w:val="24"/>
          <w:szCs w:val="24"/>
        </w:rPr>
        <w:t>'</w:t>
      </w:r>
      <w:r w:rsidR="002767DF" w:rsidRPr="002767DF">
        <w:rPr>
          <w:rFonts w:asciiTheme="minorHAnsi" w:eastAsia="Times New Roman" w:hAnsiTheme="minorHAnsi" w:cs="Times New Roman"/>
          <w:sz w:val="24"/>
          <w:szCs w:val="24"/>
        </w:rPr>
        <w:t xml:space="preserve"> rights under Title IX.</w:t>
      </w:r>
    </w:p>
    <w:p w:rsidR="002767DF" w:rsidRPr="004D4DA4" w:rsidRDefault="002767DF" w:rsidP="002767DF">
      <w:pPr>
        <w:rPr>
          <w:rFonts w:asciiTheme="minorHAnsi" w:eastAsia="Times New Roman" w:hAnsiTheme="minorHAnsi" w:cs="Times New Roman"/>
          <w:sz w:val="24"/>
          <w:szCs w:val="24"/>
        </w:rPr>
      </w:pPr>
    </w:p>
    <w:p w:rsidR="002767DF" w:rsidRPr="002767DF" w:rsidRDefault="002767DF" w:rsidP="002767DF">
      <w:pPr>
        <w:rPr>
          <w:rFonts w:asciiTheme="minorHAnsi" w:eastAsia="Times New Roman" w:hAnsiTheme="minorHAnsi" w:cs="Times New Roman"/>
          <w:sz w:val="24"/>
          <w:szCs w:val="24"/>
        </w:rPr>
      </w:pPr>
      <w:r w:rsidRPr="004D4DA4">
        <w:rPr>
          <w:rFonts w:asciiTheme="minorHAnsi" w:eastAsia="Times New Roman" w:hAnsiTheme="minorHAnsi" w:cs="Times New Roman"/>
          <w:sz w:val="24"/>
          <w:szCs w:val="24"/>
        </w:rPr>
        <w:t>Furthermore, Alliance Defending Freedom notes</w:t>
      </w:r>
      <w:r w:rsidR="00446702">
        <w:rPr>
          <w:rFonts w:asciiTheme="minorHAnsi" w:eastAsia="Times New Roman" w:hAnsiTheme="minorHAnsi" w:cs="Times New Roman"/>
          <w:sz w:val="24"/>
          <w:szCs w:val="24"/>
        </w:rPr>
        <w:t xml:space="preserve"> (emphasis added)</w:t>
      </w:r>
      <w:r w:rsidRPr="004D4DA4">
        <w:rPr>
          <w:rFonts w:asciiTheme="minorHAnsi" w:eastAsia="Times New Roman" w:hAnsiTheme="minorHAnsi" w:cs="Times New Roman"/>
          <w:sz w:val="24"/>
          <w:szCs w:val="24"/>
        </w:rPr>
        <w:t xml:space="preserve">: </w:t>
      </w:r>
    </w:p>
    <w:p w:rsidR="002767DF" w:rsidRPr="004D4DA4" w:rsidRDefault="002767DF" w:rsidP="004D4DA4">
      <w:pPr>
        <w:autoSpaceDE w:val="0"/>
        <w:autoSpaceDN w:val="0"/>
        <w:adjustRightInd w:val="0"/>
        <w:snapToGrid w:val="0"/>
        <w:ind w:left="720" w:right="1440"/>
        <w:jc w:val="both"/>
        <w:rPr>
          <w:rFonts w:asciiTheme="minorHAnsi" w:eastAsia="Times New Roman" w:hAnsiTheme="minorHAnsi" w:cs="CenturySchoolbook-Bold"/>
          <w:color w:val="000000"/>
          <w:sz w:val="24"/>
          <w:szCs w:val="24"/>
        </w:rPr>
      </w:pPr>
    </w:p>
    <w:p w:rsidR="002767DF" w:rsidRPr="004D4DA4" w:rsidRDefault="002767DF" w:rsidP="004D4DA4">
      <w:pPr>
        <w:autoSpaceDE w:val="0"/>
        <w:autoSpaceDN w:val="0"/>
        <w:adjustRightInd w:val="0"/>
        <w:snapToGrid w:val="0"/>
        <w:ind w:left="720" w:right="1440"/>
        <w:jc w:val="both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Allowing students to use opposite-sex restrooms and locker rooms would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seriously endanger students</w:t>
      </w:r>
      <w:r w:rsidR="004C60F7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'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 xml:space="preserve"> privacy and safety, undermine parental authority,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violate religious students</w:t>
      </w:r>
      <w:r w:rsidR="004C60F7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'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 xml:space="preserve"> free exercise rights, and severely impair an environment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 xml:space="preserve">conducive to learning. These dangers are so obvious that </w:t>
      </w:r>
      <w:r w:rsidRPr="00446702">
        <w:rPr>
          <w:rFonts w:asciiTheme="minorHAnsi" w:eastAsia="Times New Roman" w:hAnsiTheme="minorHAnsi" w:cs="CenturySchoolbook"/>
          <w:b/>
          <w:color w:val="000000"/>
          <w:sz w:val="24"/>
          <w:szCs w:val="24"/>
          <w:lang w:val="x-none"/>
        </w:rPr>
        <w:t>a school district allowing</w:t>
      </w:r>
      <w:r w:rsidR="004D4DA4" w:rsidRPr="00446702">
        <w:rPr>
          <w:rFonts w:asciiTheme="minorHAnsi" w:eastAsia="Times New Roman" w:hAnsiTheme="minorHAnsi" w:cs="CenturySchoolbook"/>
          <w:b/>
          <w:color w:val="000000"/>
          <w:sz w:val="24"/>
          <w:szCs w:val="24"/>
        </w:rPr>
        <w:t xml:space="preserve"> </w:t>
      </w:r>
      <w:r w:rsidRPr="00446702">
        <w:rPr>
          <w:rFonts w:asciiTheme="minorHAnsi" w:eastAsia="Times New Roman" w:hAnsiTheme="minorHAnsi" w:cs="CenturySchoolbook"/>
          <w:b/>
          <w:color w:val="000000"/>
          <w:sz w:val="24"/>
          <w:szCs w:val="24"/>
          <w:lang w:val="x-none"/>
        </w:rPr>
        <w:t xml:space="preserve">such activity would clearly expose itself to tort liability. 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Consequently, school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districts should reject policies that force students to share restrooms and locker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4D4DA4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rooms with members of the opposite sex.</w:t>
      </w:r>
    </w:p>
    <w:p w:rsidR="002767DF" w:rsidRPr="004D4DA4" w:rsidRDefault="002767DF" w:rsidP="004D4DA4">
      <w:pPr>
        <w:autoSpaceDE w:val="0"/>
        <w:autoSpaceDN w:val="0"/>
        <w:adjustRightInd w:val="0"/>
        <w:snapToGrid w:val="0"/>
        <w:ind w:left="720" w:right="1440"/>
        <w:jc w:val="both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</w:p>
    <w:p w:rsidR="002767DF" w:rsidRPr="00446702" w:rsidRDefault="002767DF" w:rsidP="004D4DA4">
      <w:pPr>
        <w:autoSpaceDE w:val="0"/>
        <w:autoSpaceDN w:val="0"/>
        <w:adjustRightInd w:val="0"/>
        <w:snapToGrid w:val="0"/>
        <w:ind w:left="720" w:right="1440"/>
        <w:jc w:val="both"/>
        <w:rPr>
          <w:rFonts w:asciiTheme="minorHAnsi" w:eastAsia="Times New Roman" w:hAnsiTheme="minorHAnsi" w:cs="CenturySchoolbook"/>
          <w:b/>
          <w:color w:val="000000"/>
          <w:sz w:val="24"/>
          <w:szCs w:val="24"/>
          <w:lang w:val="x-none"/>
        </w:rPr>
      </w:pP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Instead, we advise school districts to continue to handle these matters as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they arise utilizing the advice given in this letter or to adopt ADF</w:t>
      </w:r>
      <w:r w:rsidR="004C60F7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'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 model policy or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a substantially similar policy. ADF</w:t>
      </w:r>
      <w:r w:rsidR="004C60F7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'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 policy allows schools to accommodate students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with unique privacy needs, including transgender students, while also protecting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other students</w:t>
      </w:r>
      <w:r w:rsidR="004C60F7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'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 xml:space="preserve"> privacy and free exercise rights. It also serves to better insulate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school districts from legal liability. If a district adopts our model policy and it is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challenged in court, Alliance Defending Freedom will review the facts and, if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 xml:space="preserve">appropriate, </w:t>
      </w:r>
      <w:r w:rsidRPr="00446702">
        <w:rPr>
          <w:rFonts w:asciiTheme="minorHAnsi" w:eastAsia="Times New Roman" w:hAnsiTheme="minorHAnsi" w:cs="CenturySchoolbook"/>
          <w:b/>
          <w:color w:val="000000"/>
          <w:sz w:val="24"/>
          <w:szCs w:val="24"/>
          <w:lang w:val="x-none"/>
        </w:rPr>
        <w:t>offer to defend that district free of charge.</w:t>
      </w:r>
    </w:p>
    <w:p w:rsidR="002767DF" w:rsidRPr="002767DF" w:rsidRDefault="002767DF" w:rsidP="004D4DA4">
      <w:pPr>
        <w:autoSpaceDE w:val="0"/>
        <w:autoSpaceDN w:val="0"/>
        <w:adjustRightInd w:val="0"/>
        <w:snapToGrid w:val="0"/>
        <w:ind w:left="720" w:right="1440"/>
        <w:jc w:val="both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</w:p>
    <w:p w:rsidR="002767DF" w:rsidRPr="002767DF" w:rsidRDefault="002767DF" w:rsidP="004D4DA4">
      <w:pPr>
        <w:autoSpaceDE w:val="0"/>
        <w:autoSpaceDN w:val="0"/>
        <w:adjustRightInd w:val="0"/>
        <w:snapToGrid w:val="0"/>
        <w:ind w:left="720" w:right="1440"/>
        <w:jc w:val="both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If you should have any questions regarding this matter, please do not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hesitate to contact ADF at 1-800-835-5233. We would be happy to speak with you or</w:t>
      </w:r>
      <w:r w:rsidR="004D4DA4">
        <w:rPr>
          <w:rFonts w:asciiTheme="minorHAnsi" w:eastAsia="Times New Roman" w:hAnsiTheme="minorHAnsi" w:cs="CenturySchoolbook"/>
          <w:color w:val="000000"/>
          <w:sz w:val="24"/>
          <w:szCs w:val="24"/>
        </w:rPr>
        <w:t xml:space="preserve"> </w:t>
      </w:r>
      <w:r w:rsidRPr="002767DF"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  <w:t>your counsel and to offer any assistance we could provide.</w:t>
      </w:r>
    </w:p>
    <w:p w:rsidR="002767DF" w:rsidRPr="002767DF" w:rsidRDefault="002767DF" w:rsidP="002767DF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enturySchoolbook"/>
          <w:color w:val="000000"/>
          <w:sz w:val="24"/>
          <w:szCs w:val="24"/>
          <w:lang w:val="x-none"/>
        </w:rPr>
      </w:pPr>
    </w:p>
    <w:p w:rsidR="002767DF" w:rsidRDefault="002767DF" w:rsidP="002767DF">
      <w:pPr>
        <w:rPr>
          <w:rFonts w:asciiTheme="minorHAnsi" w:hAnsiTheme="minorHAnsi"/>
          <w:sz w:val="24"/>
          <w:szCs w:val="24"/>
        </w:rPr>
      </w:pPr>
      <w:r w:rsidRPr="002767DF">
        <w:rPr>
          <w:rFonts w:asciiTheme="minorHAnsi" w:hAnsiTheme="minorHAnsi"/>
          <w:sz w:val="24"/>
          <w:szCs w:val="24"/>
        </w:rPr>
        <w:t>Please only consider policies for accommodating transgender students that do not also jeopardize the safety and privacy of other students.</w:t>
      </w:r>
    </w:p>
    <w:p w:rsidR="00F911BC" w:rsidRPr="002767DF" w:rsidRDefault="00F911BC" w:rsidP="002767DF">
      <w:pPr>
        <w:rPr>
          <w:rFonts w:asciiTheme="minorHAnsi" w:hAnsiTheme="minorHAnsi"/>
          <w:sz w:val="24"/>
          <w:szCs w:val="24"/>
        </w:rPr>
      </w:pPr>
    </w:p>
    <w:p w:rsidR="008364F5" w:rsidRPr="002767DF" w:rsidRDefault="002767DF">
      <w:pPr>
        <w:rPr>
          <w:rFonts w:asciiTheme="minorHAnsi" w:hAnsiTheme="minorHAnsi"/>
          <w:sz w:val="24"/>
          <w:szCs w:val="24"/>
        </w:rPr>
      </w:pPr>
      <w:r w:rsidRPr="002767DF">
        <w:rPr>
          <w:rFonts w:asciiTheme="minorHAnsi" w:hAnsiTheme="minorHAnsi"/>
          <w:sz w:val="24"/>
          <w:szCs w:val="24"/>
        </w:rPr>
        <w:lastRenderedPageBreak/>
        <w:t>Sincerely,</w:t>
      </w:r>
    </w:p>
    <w:sectPr w:rsidR="008364F5" w:rsidRPr="002767DF" w:rsidSect="00582D6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767A4"/>
    <w:multiLevelType w:val="hybridMultilevel"/>
    <w:tmpl w:val="540CB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DF"/>
    <w:rsid w:val="000207E1"/>
    <w:rsid w:val="001F6FE3"/>
    <w:rsid w:val="002767DF"/>
    <w:rsid w:val="00446702"/>
    <w:rsid w:val="004C60F7"/>
    <w:rsid w:val="004D4DA4"/>
    <w:rsid w:val="00582D6C"/>
    <w:rsid w:val="005C7F9F"/>
    <w:rsid w:val="00600A49"/>
    <w:rsid w:val="007E139F"/>
    <w:rsid w:val="008364F5"/>
    <w:rsid w:val="008B27A8"/>
    <w:rsid w:val="00A66A7D"/>
    <w:rsid w:val="00B641FC"/>
    <w:rsid w:val="00B83299"/>
    <w:rsid w:val="00C115C9"/>
    <w:rsid w:val="00F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E98F5-4462-439B-BAE6-4DE26EF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DF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DF"/>
    <w:pPr>
      <w:ind w:left="720"/>
    </w:pPr>
  </w:style>
  <w:style w:type="character" w:styleId="Hyperlink">
    <w:name w:val="Hyperlink"/>
    <w:basedOn w:val="DefaultParagraphFont"/>
    <w:uiPriority w:val="99"/>
    <w:unhideWhenUsed/>
    <w:rsid w:val="002767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fmedia.org/files/DurhamPublicSchoolsLet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olice.legis.iowa.gov/Cool-ICE/default.asp?category=billinfo&amp;service=IowaCode&amp;ga=83&amp;input=216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familyleader.com/wp-content/uploads/2016/08/160622branstadletter.pdf" TargetMode="External"/><Relationship Id="rId5" Type="http://schemas.openxmlformats.org/officeDocument/2006/relationships/hyperlink" Target="http://www.politico.com/story/2016/08/texas-judge-temporarily-blocks-obamas-transgender-directive-227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Zahn</dc:creator>
  <cp:keywords/>
  <dc:description/>
  <cp:lastModifiedBy>Andrew Zahn</cp:lastModifiedBy>
  <cp:revision>3</cp:revision>
  <cp:lastPrinted>2016-08-17T13:55:00Z</cp:lastPrinted>
  <dcterms:created xsi:type="dcterms:W3CDTF">2016-09-19T17:51:00Z</dcterms:created>
  <dcterms:modified xsi:type="dcterms:W3CDTF">2016-09-19T17:51:00Z</dcterms:modified>
</cp:coreProperties>
</file>